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ind/>
        <w:jc w:val="center"/>
        <w:rPr>
          <w:b w:val="1"/>
          <w:sz w:val="28"/>
        </w:rPr>
      </w:pPr>
      <w:r>
        <w:rPr>
          <w:b w:val="1"/>
          <w:sz w:val="28"/>
        </w:rPr>
        <w:t>Постановление Правительства РФ от 12.08.2025 № 1200 «О внесении изменений в постановление Правительства Российской Федерации от 11.07.2024 № 943» </w:t>
      </w:r>
    </w:p>
    <w:p w14:paraId="02000000">
      <w:pPr>
        <w:pStyle w:val="Style_1"/>
        <w:ind/>
        <w:jc w:val="center"/>
        <w:rPr>
          <w:b w:val="1"/>
          <w:sz w:val="28"/>
        </w:rPr>
      </w:pPr>
    </w:p>
    <w:p w14:paraId="03000000">
      <w:pPr>
        <w:pStyle w:val="Style_1"/>
        <w:ind w:firstLine="709" w:left="0"/>
        <w:jc w:val="both"/>
        <w:rPr>
          <w:sz w:val="28"/>
        </w:rPr>
      </w:pPr>
      <w:r>
        <w:rPr>
          <w:sz w:val="28"/>
        </w:rPr>
        <w:t>Уточнен состав участников ипотечной системы обеспечения федеральных государственных гражданских служащих жилыми помещениями.</w:t>
      </w:r>
    </w:p>
    <w:p w14:paraId="04000000">
      <w:pPr>
        <w:pStyle w:val="Style_1"/>
        <w:ind w:firstLine="709" w:left="0"/>
        <w:jc w:val="both"/>
        <w:rPr>
          <w:sz w:val="28"/>
        </w:rPr>
      </w:pPr>
      <w:r>
        <w:rPr>
          <w:sz w:val="28"/>
        </w:rPr>
        <w:t>Участником сможет стать гражданский служащий, награжденный ведомственной наградой федерального органа исполнительной власти, в котором данный гражданский служащий проходит гражданскую службу, участвующего в эксперименте по внедрению на федеральной государственной гражданской службе ипотечной системы обеспечения федеральных государственных гражданских служащих жилыми помещениями с привлечением средств федерального бюджета.</w:t>
      </w:r>
    </w:p>
    <w:p w14:paraId="05000000">
      <w:pPr>
        <w:pStyle w:val="Style_1"/>
        <w:ind w:firstLine="709" w:left="0"/>
        <w:jc w:val="both"/>
        <w:rPr>
          <w:sz w:val="28"/>
        </w:rPr>
      </w:pPr>
      <w:r>
        <w:rPr>
          <w:sz w:val="28"/>
        </w:rPr>
        <w:t>Скорректирован состав участников эксперимента.</w:t>
      </w:r>
    </w:p>
    <w:p w14:paraId="06000000">
      <w:pPr>
        <w:pStyle w:val="Style_1"/>
        <w:ind w:firstLine="709" w:left="0"/>
        <w:jc w:val="both"/>
        <w:rPr>
          <w:sz w:val="28"/>
        </w:rPr>
      </w:pPr>
      <w:r>
        <w:rPr>
          <w:sz w:val="28"/>
        </w:rPr>
        <w:t>Установлено, что положения пункта 3 Правил обеспечения федеральных государственных гражданских служащих жилыми помещениями с привлечением средств федерального бюджета в рамках эксперимента, устанавливающие условия участия гражданских служащих в ипотечной системе, за исключением условия о возрасте, до достижения которого гражданские служащие могут быть участниками ипотечной системы, не применяются в отношении гражданских служащих, проходящих гражданскую службу в территориальных органах федеральных органов исполнительной власти - участников эксперимента, расположенных на территориях новых регионов.</w:t>
      </w:r>
    </w:p>
    <w:p w14:paraId="07000000">
      <w:pPr>
        <w:pStyle w:val="Style_1"/>
        <w:rPr>
          <w:sz w:val="28"/>
        </w:rPr>
      </w:pPr>
    </w:p>
    <w:p w14:paraId="08000000">
      <w:pPr>
        <w:pStyle w:val="Style_1"/>
        <w:rPr>
          <w:sz w:val="28"/>
        </w:rPr>
      </w:pPr>
    </w:p>
    <w:p w14:paraId="09000000">
      <w:pPr>
        <w:pStyle w:val="Style_1"/>
        <w:rPr>
          <w:sz w:val="28"/>
        </w:rPr>
      </w:pPr>
    </w:p>
    <w:p w14:paraId="0A000000">
      <w:pPr>
        <w:pStyle w:val="Style_1"/>
        <w:rPr>
          <w:sz w:val="28"/>
        </w:rPr>
      </w:pPr>
    </w:p>
    <w:p w14:paraId="0B000000">
      <w:pPr>
        <w:pStyle w:val="Style_1"/>
        <w:rPr>
          <w:sz w:val="28"/>
        </w:rPr>
      </w:pPr>
    </w:p>
    <w:p w14:paraId="0C000000">
      <w:pPr>
        <w:pStyle w:val="Style_1"/>
        <w:rPr>
          <w:sz w:val="28"/>
        </w:rPr>
      </w:pPr>
    </w:p>
    <w:p w14:paraId="0D000000">
      <w:pPr>
        <w:pStyle w:val="Style_1"/>
        <w:rPr>
          <w:sz w:val="28"/>
        </w:rPr>
      </w:pPr>
    </w:p>
    <w:p w14:paraId="0E000000">
      <w:pPr>
        <w:pStyle w:val="Style_1"/>
        <w:rPr>
          <w:sz w:val="28"/>
        </w:rPr>
      </w:pPr>
    </w:p>
    <w:p w14:paraId="0F000000">
      <w:pPr>
        <w:pStyle w:val="Style_1"/>
        <w:rPr>
          <w:sz w:val="28"/>
        </w:rPr>
      </w:pPr>
    </w:p>
    <w:p w14:paraId="10000000">
      <w:pPr>
        <w:pStyle w:val="Style_1"/>
        <w:rPr>
          <w:sz w:val="28"/>
        </w:rPr>
      </w:pPr>
    </w:p>
    <w:p w14:paraId="11000000">
      <w:pPr>
        <w:pStyle w:val="Style_1"/>
        <w:rPr>
          <w:sz w:val="28"/>
        </w:rPr>
      </w:pPr>
    </w:p>
    <w:p w14:paraId="12000000">
      <w:pPr>
        <w:pStyle w:val="Style_1"/>
        <w:rPr>
          <w:sz w:val="28"/>
        </w:rPr>
      </w:pPr>
    </w:p>
    <w:p w14:paraId="13000000">
      <w:pPr>
        <w:pStyle w:val="Style_1"/>
        <w:rPr>
          <w:sz w:val="28"/>
        </w:rPr>
      </w:pPr>
    </w:p>
    <w:p w14:paraId="14000000">
      <w:pPr>
        <w:pStyle w:val="Style_1"/>
        <w:rPr>
          <w:sz w:val="28"/>
        </w:rPr>
      </w:pPr>
    </w:p>
    <w:p w14:paraId="15000000">
      <w:pPr>
        <w:pStyle w:val="Style_1"/>
        <w:rPr>
          <w:sz w:val="28"/>
        </w:rPr>
      </w:pPr>
    </w:p>
    <w:p w14:paraId="16000000">
      <w:pPr>
        <w:pStyle w:val="Style_1"/>
        <w:rPr>
          <w:sz w:val="28"/>
        </w:rPr>
      </w:pPr>
    </w:p>
    <w:p w14:paraId="17000000">
      <w:pPr>
        <w:pStyle w:val="Style_1"/>
        <w:rPr>
          <w:sz w:val="28"/>
        </w:rPr>
      </w:pPr>
    </w:p>
    <w:p w14:paraId="18000000">
      <w:pPr>
        <w:pStyle w:val="Style_1"/>
        <w:rPr>
          <w:sz w:val="28"/>
        </w:rPr>
      </w:pPr>
    </w:p>
    <w:p w14:paraId="19000000">
      <w:pPr>
        <w:pStyle w:val="Style_1"/>
        <w:rPr>
          <w:sz w:val="28"/>
        </w:rPr>
      </w:pPr>
    </w:p>
    <w:p w14:paraId="1A000000">
      <w:pPr>
        <w:pStyle w:val="Style_1"/>
        <w:rPr>
          <w:sz w:val="28"/>
        </w:rPr>
      </w:pPr>
    </w:p>
    <w:p w14:paraId="1B000000">
      <w:pPr>
        <w:pStyle w:val="Style_1"/>
        <w:rPr>
          <w:sz w:val="28"/>
        </w:rPr>
      </w:pPr>
    </w:p>
    <w:p w14:paraId="1C000000">
      <w:pPr>
        <w:pStyle w:val="Style_1"/>
        <w:rPr>
          <w:sz w:val="28"/>
        </w:rPr>
      </w:pPr>
    </w:p>
    <w:p w14:paraId="1D000000">
      <w:pPr>
        <w:pStyle w:val="Style_1"/>
        <w:ind/>
        <w:jc w:val="center"/>
        <w:rPr>
          <w:b w:val="1"/>
          <w:sz w:val="28"/>
        </w:rPr>
      </w:pPr>
      <w:r>
        <w:rPr>
          <w:b w:val="1"/>
          <w:sz w:val="28"/>
        </w:rPr>
        <w:t xml:space="preserve">Федеральным законом № 318-ФЗ закреплено право пережившего супруга </w:t>
      </w:r>
    </w:p>
    <w:p w14:paraId="1E000000">
      <w:pPr>
        <w:pStyle w:val="Style_1"/>
        <w:ind/>
        <w:jc w:val="center"/>
        <w:rPr>
          <w:b w:val="1"/>
          <w:sz w:val="28"/>
        </w:rPr>
      </w:pPr>
      <w:r>
        <w:rPr>
          <w:b w:val="1"/>
          <w:sz w:val="28"/>
        </w:rPr>
        <w:t xml:space="preserve">на временное пользование транспортным средством, которое являлось </w:t>
      </w:r>
    </w:p>
    <w:p w14:paraId="1F000000">
      <w:pPr>
        <w:pStyle w:val="Style_1"/>
        <w:ind/>
        <w:jc w:val="center"/>
        <w:rPr>
          <w:b w:val="1"/>
          <w:sz w:val="28"/>
        </w:rPr>
      </w:pPr>
      <w:r>
        <w:rPr>
          <w:b w:val="1"/>
          <w:sz w:val="28"/>
        </w:rPr>
        <w:t xml:space="preserve">собственностью лица, погибшего (умершего) в связи с участием (выполнением задач) </w:t>
      </w:r>
    </w:p>
    <w:p w14:paraId="20000000">
      <w:pPr>
        <w:pStyle w:val="Style_1"/>
        <w:ind/>
        <w:jc w:val="center"/>
        <w:rPr>
          <w:b w:val="1"/>
          <w:sz w:val="28"/>
        </w:rPr>
      </w:pPr>
      <w:r>
        <w:rPr>
          <w:b w:val="1"/>
          <w:sz w:val="28"/>
        </w:rPr>
        <w:t>в специальной военной операции</w:t>
      </w:r>
    </w:p>
    <w:p w14:paraId="21000000">
      <w:pPr>
        <w:pStyle w:val="Style_1"/>
        <w:ind/>
        <w:jc w:val="center"/>
        <w:rPr>
          <w:b w:val="1"/>
          <w:sz w:val="28"/>
        </w:rPr>
      </w:pPr>
    </w:p>
    <w:p w14:paraId="22000000">
      <w:pPr>
        <w:pStyle w:val="Style_1"/>
        <w:ind w:firstLine="709" w:left="0"/>
        <w:jc w:val="both"/>
        <w:rPr>
          <w:sz w:val="28"/>
        </w:rPr>
      </w:pPr>
      <w:r>
        <w:rPr>
          <w:sz w:val="28"/>
        </w:rPr>
        <w:t>Установлено, что переживший супруг вправе до выдачи свидетельства о праве на наследство пользоваться без согласия третьих лиц транспортным средством, владельцем которого в регистрационных документах указан участник СВО, если такое транспортное средство являлось совместной собственностью супругов.</w:t>
      </w:r>
    </w:p>
    <w:p w14:paraId="23000000">
      <w:pPr>
        <w:pStyle w:val="Style_1"/>
        <w:ind w:firstLine="709" w:left="0"/>
        <w:jc w:val="both"/>
        <w:rPr>
          <w:sz w:val="28"/>
        </w:rPr>
      </w:pPr>
      <w:r>
        <w:rPr>
          <w:sz w:val="28"/>
        </w:rPr>
        <w:t>Переживший супруг, имеющий право пользования таким транспортным средством, вправе требовать передачи ему во владение такого транспортного средства, находящегося во владении у третьих лиц, для постановки его на государственный учет на ограниченный срок.</w:t>
      </w:r>
    </w:p>
    <w:p w14:paraId="24000000">
      <w:pPr>
        <w:pStyle w:val="Style_1"/>
        <w:ind w:firstLine="709" w:left="0"/>
        <w:jc w:val="both"/>
        <w:rPr>
          <w:sz w:val="28"/>
        </w:rPr>
      </w:pPr>
      <w:r>
        <w:rPr>
          <w:sz w:val="28"/>
        </w:rPr>
        <w:t>Переживший супруг вправе также требовать передачи ему документов, идентифицирующих такое транспортное средство. Свидетельство о праве пережившего супруга на временное пользование транспортным средством, которое являлось собственностью лица, погибшего (умершего) в связи с участием (выполнением задач) в СВО, выдается нотариусом по месту открытия наследства по письменному заявлению пережившего супруга при условии, что шестимесячный срок, для принятия наследства, не истек.</w:t>
      </w:r>
    </w:p>
    <w:p w14:paraId="25000000">
      <w:pPr>
        <w:pStyle w:val="Style_1"/>
        <w:rPr>
          <w:sz w:val="28"/>
        </w:rPr>
      </w:pPr>
    </w:p>
    <w:p w14:paraId="26000000">
      <w:pPr>
        <w:pStyle w:val="Style_1"/>
        <w:rPr>
          <w:sz w:val="28"/>
        </w:rPr>
      </w:pPr>
    </w:p>
    <w:p w14:paraId="27000000">
      <w:pPr>
        <w:pStyle w:val="Style_1"/>
        <w:rPr>
          <w:sz w:val="28"/>
        </w:rPr>
      </w:pPr>
    </w:p>
    <w:p w14:paraId="28000000">
      <w:pPr>
        <w:pStyle w:val="Style_1"/>
        <w:rPr>
          <w:sz w:val="28"/>
        </w:rPr>
      </w:pPr>
    </w:p>
    <w:p w14:paraId="29000000">
      <w:pPr>
        <w:pStyle w:val="Style_1"/>
        <w:rPr>
          <w:sz w:val="28"/>
        </w:rPr>
      </w:pPr>
    </w:p>
    <w:p w14:paraId="2A000000">
      <w:pPr>
        <w:pStyle w:val="Style_1"/>
        <w:rPr>
          <w:sz w:val="28"/>
        </w:rPr>
      </w:pPr>
    </w:p>
    <w:p w14:paraId="2B000000">
      <w:pPr>
        <w:pStyle w:val="Style_1"/>
        <w:rPr>
          <w:sz w:val="28"/>
        </w:rPr>
      </w:pPr>
    </w:p>
    <w:p w14:paraId="2C000000">
      <w:pPr>
        <w:pStyle w:val="Style_1"/>
        <w:rPr>
          <w:sz w:val="28"/>
        </w:rPr>
      </w:pPr>
    </w:p>
    <w:p w14:paraId="2D000000">
      <w:pPr>
        <w:pStyle w:val="Style_1"/>
        <w:rPr>
          <w:sz w:val="28"/>
        </w:rPr>
      </w:pPr>
    </w:p>
    <w:p w14:paraId="2E000000">
      <w:pPr>
        <w:pStyle w:val="Style_1"/>
        <w:rPr>
          <w:sz w:val="28"/>
        </w:rPr>
      </w:pPr>
    </w:p>
    <w:p w14:paraId="2F000000">
      <w:pPr>
        <w:pStyle w:val="Style_1"/>
        <w:rPr>
          <w:sz w:val="28"/>
        </w:rPr>
      </w:pPr>
    </w:p>
    <w:p w14:paraId="30000000">
      <w:pPr>
        <w:pStyle w:val="Style_1"/>
        <w:rPr>
          <w:sz w:val="28"/>
        </w:rPr>
      </w:pPr>
    </w:p>
    <w:p w14:paraId="31000000">
      <w:pPr>
        <w:pStyle w:val="Style_1"/>
        <w:rPr>
          <w:sz w:val="28"/>
        </w:rPr>
      </w:pPr>
    </w:p>
    <w:p w14:paraId="32000000">
      <w:pPr>
        <w:pStyle w:val="Style_1"/>
        <w:rPr>
          <w:sz w:val="28"/>
        </w:rPr>
      </w:pPr>
    </w:p>
    <w:p w14:paraId="33000000">
      <w:pPr>
        <w:pStyle w:val="Style_1"/>
        <w:rPr>
          <w:sz w:val="28"/>
        </w:rPr>
      </w:pPr>
    </w:p>
    <w:p w14:paraId="34000000">
      <w:pPr>
        <w:pStyle w:val="Style_1"/>
        <w:rPr>
          <w:sz w:val="28"/>
        </w:rPr>
      </w:pPr>
    </w:p>
    <w:p w14:paraId="35000000">
      <w:pPr>
        <w:pStyle w:val="Style_1"/>
        <w:rPr>
          <w:sz w:val="28"/>
        </w:rPr>
      </w:pPr>
    </w:p>
    <w:p w14:paraId="36000000">
      <w:pPr>
        <w:pStyle w:val="Style_1"/>
        <w:rPr>
          <w:sz w:val="28"/>
        </w:rPr>
      </w:pPr>
    </w:p>
    <w:p w14:paraId="37000000">
      <w:pPr>
        <w:pStyle w:val="Style_1"/>
        <w:rPr>
          <w:sz w:val="28"/>
        </w:rPr>
      </w:pPr>
    </w:p>
    <w:p w14:paraId="38000000">
      <w:pPr>
        <w:pStyle w:val="Style_1"/>
        <w:rPr>
          <w:sz w:val="28"/>
        </w:rPr>
      </w:pPr>
    </w:p>
    <w:p w14:paraId="39000000">
      <w:pPr>
        <w:pStyle w:val="Style_1"/>
        <w:rPr>
          <w:sz w:val="28"/>
        </w:rPr>
      </w:pPr>
    </w:p>
    <w:p w14:paraId="3A000000">
      <w:pPr>
        <w:pStyle w:val="Style_1"/>
        <w:rPr>
          <w:sz w:val="28"/>
        </w:rPr>
      </w:pPr>
    </w:p>
    <w:p w14:paraId="3B000000">
      <w:pPr>
        <w:pStyle w:val="Style_1"/>
        <w:rPr>
          <w:sz w:val="28"/>
        </w:rPr>
      </w:pPr>
    </w:p>
    <w:p w14:paraId="3C000000">
      <w:pPr>
        <w:pStyle w:val="Style_1"/>
        <w:rPr>
          <w:sz w:val="28"/>
        </w:rPr>
      </w:pPr>
    </w:p>
    <w:p w14:paraId="3D000000">
      <w:pPr>
        <w:pStyle w:val="Style_1"/>
        <w:ind/>
        <w:jc w:val="center"/>
        <w:rPr>
          <w:b w:val="1"/>
          <w:sz w:val="28"/>
        </w:rPr>
      </w:pPr>
      <w:r>
        <w:rPr>
          <w:b w:val="1"/>
          <w:sz w:val="28"/>
        </w:rPr>
        <w:t>Федеральным законом от 31.07.2025 № 315-ФЗ уточнены сроки обращения в суд с требованием о признании права собственности на бесхозяйную недвижимую вещь</w:t>
      </w:r>
    </w:p>
    <w:p w14:paraId="3E000000">
      <w:pPr>
        <w:pStyle w:val="Style_1"/>
        <w:rPr>
          <w:sz w:val="28"/>
        </w:rPr>
      </w:pPr>
    </w:p>
    <w:p w14:paraId="3F000000">
      <w:pPr>
        <w:pStyle w:val="Style_1"/>
        <w:ind w:firstLine="709" w:left="0"/>
        <w:jc w:val="both"/>
        <w:rPr>
          <w:sz w:val="28"/>
        </w:rPr>
      </w:pPr>
      <w:r>
        <w:rPr>
          <w:sz w:val="28"/>
        </w:rPr>
        <w:t>С 1 года до 3 месяцев со дня постановки бесхозяйной недвижимой вещи на учет сокращен срок, по истечении которого орган, уполномоченный управлять муниципальным имуществом, может обратиться в суд с требованием о признании права собственности на эту вещь в случае, если она является:</w:t>
      </w:r>
    </w:p>
    <w:p w14:paraId="40000000">
      <w:pPr>
        <w:pStyle w:val="Style_1"/>
        <w:ind w:firstLine="709" w:left="0"/>
        <w:jc w:val="both"/>
        <w:rPr>
          <w:sz w:val="28"/>
        </w:rPr>
      </w:pPr>
      <w:r>
        <w:rPr>
          <w:sz w:val="28"/>
        </w:rPr>
        <w:t>объектом (в том числе линейным), необходимым для обеспечения тепло- и электроэнергией, водой, газом, для водоотведения;</w:t>
      </w:r>
    </w:p>
    <w:p w14:paraId="41000000">
      <w:pPr>
        <w:pStyle w:val="Style_1"/>
        <w:ind w:firstLine="709" w:left="0"/>
        <w:jc w:val="both"/>
        <w:rPr>
          <w:sz w:val="28"/>
        </w:rPr>
      </w:pPr>
      <w:r>
        <w:rPr>
          <w:sz w:val="28"/>
        </w:rPr>
        <w:t>гидротехническим сооружением;</w:t>
      </w:r>
    </w:p>
    <w:p w14:paraId="42000000">
      <w:pPr>
        <w:pStyle w:val="Style_1"/>
        <w:ind w:firstLine="709" w:left="0"/>
        <w:jc w:val="both"/>
        <w:rPr>
          <w:sz w:val="28"/>
        </w:rPr>
      </w:pPr>
      <w:r>
        <w:rPr>
          <w:sz w:val="28"/>
        </w:rPr>
        <w:t>объектом гражданской обороны.</w:t>
      </w:r>
    </w:p>
    <w:p w14:paraId="43000000">
      <w:pPr>
        <w:pStyle w:val="Style_1"/>
        <w:ind w:firstLine="709" w:left="0"/>
        <w:jc w:val="both"/>
        <w:rPr>
          <w:sz w:val="28"/>
        </w:rPr>
      </w:pPr>
      <w:r>
        <w:rPr>
          <w:sz w:val="28"/>
        </w:rPr>
        <w:t>По истечении 3 месяцев со дня постановки на учет вещи, относящейся к указанным объектам, лица, обязанные эксплуатировать такие объекты, также могут обратиться в суд с требованием о признании права собственности на такие объекты. В отношении иных бесхозяйных линейных объектов срок, по истечении которого уполномоченный орган может обратиться в суд с требованием о признании права собственности на такие объекты, увеличен с 3 месяцев до 1 года.</w:t>
      </w:r>
    </w:p>
    <w:p w14:paraId="44000000">
      <w:pPr>
        <w:pStyle w:val="Style_1"/>
        <w:rPr>
          <w:sz w:val="28"/>
        </w:rPr>
      </w:pPr>
    </w:p>
    <w:p w14:paraId="45000000">
      <w:pPr>
        <w:pStyle w:val="Style_1"/>
      </w:pP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8"/>
    </w:rPr>
  </w:style>
  <w:style w:styleId="Style_14_ch" w:type="character">
    <w:name w:val="Header and Footer"/>
    <w:link w:val="Style_14"/>
    <w:rPr>
      <w:rFonts w:ascii="XO Thames" w:hAnsi="XO Thames"/>
      <w:sz w:val="28"/>
    </w:rPr>
  </w:style>
  <w:style w:styleId="Style_15" w:type="paragraph">
    <w:name w:val="toc 9"/>
    <w:next w:val="Style_1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1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1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1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MyOffice-CoreFramework-Linux/31-1176.784.8785.803.1@b7d79ee91c0484ce8e5066dc862bfc403a32edb5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2025-09-25T08:33:36Z</dcterms:modified>
</cp:coreProperties>
</file>